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B0276" w14:textId="77777777" w:rsidR="002A4DB3" w:rsidRDefault="002A4DB3" w:rsidP="00EC6623">
      <w:pPr>
        <w:pBdr>
          <w:bottom w:val="single" w:sz="4" w:space="9" w:color="auto"/>
        </w:pBdr>
        <w:spacing w:after="120"/>
        <w:jc w:val="center"/>
        <w:rPr>
          <w:b/>
          <w:bCs/>
          <w:sz w:val="36"/>
          <w:szCs w:val="36"/>
        </w:rPr>
      </w:pPr>
      <w:r w:rsidRPr="002A4DB3">
        <w:rPr>
          <w:b/>
          <w:bCs/>
          <w:sz w:val="36"/>
          <w:szCs w:val="36"/>
        </w:rPr>
        <w:t>Udržitelné technologie, konkurenceschopnost a nové projektové příležitosti českého průmyslu</w:t>
      </w:r>
    </w:p>
    <w:p w14:paraId="3F706BF3" w14:textId="7A7D0FAC" w:rsidR="00D20D06" w:rsidRPr="002A4DB3" w:rsidRDefault="002A4DB3" w:rsidP="00EC6623">
      <w:pPr>
        <w:pBdr>
          <w:bottom w:val="single" w:sz="4" w:space="9" w:color="auto"/>
        </w:pBd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B704F7">
        <w:rPr>
          <w:sz w:val="28"/>
          <w:szCs w:val="28"/>
        </w:rPr>
        <w:t>průběh a hlavní závěry konference CO2CZ</w:t>
      </w:r>
      <w:r>
        <w:rPr>
          <w:sz w:val="28"/>
          <w:szCs w:val="28"/>
        </w:rPr>
        <w:t>)</w:t>
      </w:r>
    </w:p>
    <w:p w14:paraId="2A06EAC0" w14:textId="2E63C106" w:rsidR="006146F4" w:rsidRPr="002A4DB3" w:rsidRDefault="006146F4" w:rsidP="006146F4">
      <w:pPr>
        <w:spacing w:before="120" w:after="120"/>
        <w:jc w:val="both"/>
      </w:pPr>
      <w:r w:rsidRPr="006146F4">
        <w:rPr>
          <w:b/>
          <w:bCs/>
        </w:rPr>
        <w:t>Datum:</w:t>
      </w:r>
      <w:r w:rsidRPr="006146F4">
        <w:t xml:space="preserve"> </w:t>
      </w:r>
      <w:r w:rsidR="002A4DB3">
        <w:tab/>
      </w:r>
      <w:r w:rsidRPr="006146F4">
        <w:t>1. 10. 2026, 13:00–16:00</w:t>
      </w:r>
    </w:p>
    <w:p w14:paraId="01F6E89B" w14:textId="080035A7" w:rsidR="006146F4" w:rsidRPr="002A4DB3" w:rsidRDefault="006146F4" w:rsidP="00B704F7">
      <w:pPr>
        <w:pBdr>
          <w:bottom w:val="single" w:sz="4" w:space="1" w:color="auto"/>
        </w:pBdr>
        <w:spacing w:before="120" w:after="120"/>
        <w:jc w:val="both"/>
      </w:pPr>
      <w:r w:rsidRPr="006146F4">
        <w:rPr>
          <w:b/>
          <w:bCs/>
        </w:rPr>
        <w:t>Místo:</w:t>
      </w:r>
      <w:r w:rsidRPr="006146F4">
        <w:t xml:space="preserve"> </w:t>
      </w:r>
      <w:r w:rsidR="002A4DB3">
        <w:tab/>
      </w:r>
      <w:r w:rsidR="002A4DB3">
        <w:tab/>
      </w:r>
      <w:r w:rsidRPr="006146F4">
        <w:t>Hospodářská komora ČR, Florentinum, Praha</w:t>
      </w:r>
    </w:p>
    <w:p w14:paraId="5E25E5B0" w14:textId="27BE76F5" w:rsidR="00CA60C5" w:rsidRPr="00CA60C5" w:rsidRDefault="00CA60C5" w:rsidP="00CA60C5">
      <w:pPr>
        <w:spacing w:before="120" w:after="120"/>
        <w:jc w:val="both"/>
        <w:rPr>
          <w:sz w:val="22"/>
          <w:szCs w:val="22"/>
        </w:rPr>
      </w:pPr>
      <w:r w:rsidRPr="00CA60C5">
        <w:rPr>
          <w:sz w:val="22"/>
          <w:szCs w:val="22"/>
        </w:rPr>
        <w:t>Dne 1. října 2026 se v</w:t>
      </w:r>
      <w:r>
        <w:rPr>
          <w:sz w:val="22"/>
          <w:szCs w:val="22"/>
        </w:rPr>
        <w:t> </w:t>
      </w:r>
      <w:r w:rsidRPr="00CA60C5">
        <w:rPr>
          <w:sz w:val="22"/>
          <w:szCs w:val="22"/>
        </w:rPr>
        <w:t>prostorách</w:t>
      </w:r>
      <w:r>
        <w:rPr>
          <w:sz w:val="22"/>
          <w:szCs w:val="22"/>
        </w:rPr>
        <w:t xml:space="preserve"> </w:t>
      </w:r>
      <w:r w:rsidRPr="00CA60C5">
        <w:rPr>
          <w:sz w:val="22"/>
          <w:szCs w:val="22"/>
        </w:rPr>
        <w:t>Hospodářské komory ČR v</w:t>
      </w:r>
      <w:r>
        <w:rPr>
          <w:sz w:val="22"/>
          <w:szCs w:val="22"/>
        </w:rPr>
        <w:t> </w:t>
      </w:r>
      <w:r w:rsidRPr="00CA60C5">
        <w:rPr>
          <w:sz w:val="22"/>
          <w:szCs w:val="22"/>
        </w:rPr>
        <w:t>Praze</w:t>
      </w:r>
      <w:r>
        <w:rPr>
          <w:sz w:val="22"/>
          <w:szCs w:val="22"/>
        </w:rPr>
        <w:t xml:space="preserve"> </w:t>
      </w:r>
      <w:r w:rsidRPr="00CA60C5">
        <w:rPr>
          <w:sz w:val="22"/>
          <w:szCs w:val="22"/>
        </w:rPr>
        <w:t>uskutečnila konference CO2CZ zaměřená na podmínky dekarbonizace českého průmyslu a přípravu technologií CCUS v</w:t>
      </w:r>
      <w:r>
        <w:rPr>
          <w:sz w:val="22"/>
          <w:szCs w:val="22"/>
        </w:rPr>
        <w:t> </w:t>
      </w:r>
      <w:r w:rsidRPr="00CA60C5">
        <w:rPr>
          <w:sz w:val="22"/>
          <w:szCs w:val="22"/>
        </w:rPr>
        <w:t>České</w:t>
      </w:r>
      <w:r>
        <w:rPr>
          <w:sz w:val="22"/>
          <w:szCs w:val="22"/>
        </w:rPr>
        <w:t xml:space="preserve"> </w:t>
      </w:r>
      <w:r w:rsidRPr="00CA60C5">
        <w:rPr>
          <w:sz w:val="22"/>
          <w:szCs w:val="22"/>
        </w:rPr>
        <w:t>republice. Diskuse spojila představitele vlády se zástupci energeticky a emisně náročného průmyslu, provozovateli infrastruktury, geology a odbornými institucemi. CO2CZ konferenci připravila jako místo pro společnou diskusi a propojení aktivit jednotlivých průmyslových a odborných partnerů napříč celým řetězcem CCUS – od zdrojů a záchytu CO₂ přes jeho přepravu až po využití a geologické ukládání. Cílem bylo především diskutovat, za jakých technických, ekonomických a regulatorních podmínek mohou v</w:t>
      </w:r>
      <w:r>
        <w:rPr>
          <w:sz w:val="22"/>
          <w:szCs w:val="22"/>
        </w:rPr>
        <w:t> </w:t>
      </w:r>
      <w:r w:rsidRPr="00CA60C5">
        <w:rPr>
          <w:sz w:val="22"/>
          <w:szCs w:val="22"/>
        </w:rPr>
        <w:t>České</w:t>
      </w:r>
      <w:r>
        <w:rPr>
          <w:sz w:val="22"/>
          <w:szCs w:val="22"/>
        </w:rPr>
        <w:t xml:space="preserve"> </w:t>
      </w:r>
      <w:r w:rsidRPr="00CA60C5">
        <w:rPr>
          <w:sz w:val="22"/>
          <w:szCs w:val="22"/>
        </w:rPr>
        <w:t>republice vznikat reálné projekty CCUS.</w:t>
      </w:r>
    </w:p>
    <w:p w14:paraId="42DD3E50" w14:textId="525C1AF3" w:rsidR="00502A0E" w:rsidRDefault="00502A0E" w:rsidP="00B704F7">
      <w:pPr>
        <w:spacing w:before="120" w:after="120"/>
        <w:jc w:val="both"/>
        <w:rPr>
          <w:sz w:val="22"/>
          <w:szCs w:val="22"/>
        </w:rPr>
      </w:pPr>
      <w:r w:rsidRPr="00502A0E">
        <w:rPr>
          <w:sz w:val="22"/>
          <w:szCs w:val="22"/>
        </w:rPr>
        <w:t>Základním východiskem konference bylo, že CCUS není cílem samo o sobě, ale jednou z</w:t>
      </w:r>
      <w:r>
        <w:rPr>
          <w:sz w:val="22"/>
          <w:szCs w:val="22"/>
        </w:rPr>
        <w:t> </w:t>
      </w:r>
      <w:r w:rsidRPr="00502A0E">
        <w:rPr>
          <w:sz w:val="22"/>
          <w:szCs w:val="22"/>
        </w:rPr>
        <w:t>možností</w:t>
      </w:r>
      <w:r>
        <w:rPr>
          <w:sz w:val="22"/>
          <w:szCs w:val="22"/>
        </w:rPr>
        <w:t xml:space="preserve"> </w:t>
      </w:r>
      <w:r w:rsidRPr="00502A0E">
        <w:rPr>
          <w:sz w:val="22"/>
          <w:szCs w:val="22"/>
        </w:rPr>
        <w:t>dekarbonizace, kterou musí Česká republika včas technicky a ekonomicky prověřit. O případné realizaci konkrétních investic musí rozhodovat průmyslové podniky na základě ověřených technických parametrů, celkové ekonomiky projektů a předvídatelných regulatorních podmínek. To je zvláště důležité v</w:t>
      </w:r>
      <w:r>
        <w:rPr>
          <w:sz w:val="22"/>
          <w:szCs w:val="22"/>
        </w:rPr>
        <w:t> </w:t>
      </w:r>
      <w:r w:rsidRPr="00502A0E">
        <w:rPr>
          <w:sz w:val="22"/>
          <w:szCs w:val="22"/>
        </w:rPr>
        <w:t>odvětvích</w:t>
      </w:r>
      <w:r>
        <w:rPr>
          <w:sz w:val="22"/>
          <w:szCs w:val="22"/>
        </w:rPr>
        <w:t xml:space="preserve"> </w:t>
      </w:r>
      <w:r w:rsidRPr="00502A0E">
        <w:rPr>
          <w:sz w:val="22"/>
          <w:szCs w:val="22"/>
        </w:rPr>
        <w:t>s</w:t>
      </w:r>
      <w:r>
        <w:rPr>
          <w:sz w:val="22"/>
          <w:szCs w:val="22"/>
        </w:rPr>
        <w:t> </w:t>
      </w:r>
      <w:r w:rsidRPr="00502A0E">
        <w:rPr>
          <w:sz w:val="22"/>
          <w:szCs w:val="22"/>
        </w:rPr>
        <w:t>obtížně</w:t>
      </w:r>
      <w:r>
        <w:rPr>
          <w:sz w:val="22"/>
          <w:szCs w:val="22"/>
        </w:rPr>
        <w:t xml:space="preserve"> </w:t>
      </w:r>
      <w:r w:rsidRPr="00502A0E">
        <w:rPr>
          <w:sz w:val="22"/>
          <w:szCs w:val="22"/>
        </w:rPr>
        <w:t>odstranitelnými procesními emisemi, kde jsou možnosti dalšího snižování emisí omezené. Příprava jednotlivých částí budoucího CCUS řetězce proto musí probíhat koordinovaně a vycházet z</w:t>
      </w:r>
      <w:r>
        <w:rPr>
          <w:sz w:val="22"/>
          <w:szCs w:val="22"/>
        </w:rPr>
        <w:t> </w:t>
      </w:r>
      <w:r w:rsidRPr="00502A0E">
        <w:rPr>
          <w:sz w:val="22"/>
          <w:szCs w:val="22"/>
        </w:rPr>
        <w:t>konkrétních</w:t>
      </w:r>
      <w:r>
        <w:rPr>
          <w:sz w:val="22"/>
          <w:szCs w:val="22"/>
        </w:rPr>
        <w:t xml:space="preserve"> </w:t>
      </w:r>
      <w:r w:rsidRPr="00502A0E">
        <w:rPr>
          <w:sz w:val="22"/>
          <w:szCs w:val="22"/>
        </w:rPr>
        <w:t>technických a ekonomických podkladů.</w:t>
      </w:r>
    </w:p>
    <w:p w14:paraId="53E07935" w14:textId="24287ED8" w:rsidR="00B704F7" w:rsidRPr="00B704F7" w:rsidRDefault="00B704F7" w:rsidP="006146F4">
      <w:pPr>
        <w:spacing w:before="120" w:after="120"/>
        <w:jc w:val="both"/>
        <w:rPr>
          <w:b/>
          <w:bCs/>
          <w:sz w:val="22"/>
          <w:szCs w:val="22"/>
        </w:rPr>
      </w:pPr>
      <w:r w:rsidRPr="00B704F7">
        <w:rPr>
          <w:b/>
          <w:bCs/>
          <w:sz w:val="22"/>
          <w:szCs w:val="22"/>
        </w:rPr>
        <w:t>Konkurenceschopnost průmyslu a role státu</w:t>
      </w:r>
    </w:p>
    <w:p w14:paraId="20B18A37" w14:textId="45F3B0EF" w:rsidR="00B704F7" w:rsidRPr="00B704F7" w:rsidRDefault="00B704F7" w:rsidP="00B704F7">
      <w:pPr>
        <w:spacing w:before="120" w:after="120"/>
        <w:jc w:val="both"/>
        <w:rPr>
          <w:sz w:val="22"/>
          <w:szCs w:val="22"/>
        </w:rPr>
      </w:pPr>
      <w:r w:rsidRPr="00B704F7">
        <w:rPr>
          <w:sz w:val="22"/>
          <w:szCs w:val="22"/>
        </w:rPr>
        <w:t>V prvním panelu vystoupili ministr průmyslu a obchodu Karel Havlíček, ministr životního prostředí Igor Červený a generální ředitel Třineckých železáren Roman Heide.</w:t>
      </w:r>
      <w:r w:rsidRPr="00B704F7">
        <w:t xml:space="preserve"> </w:t>
      </w:r>
      <w:r w:rsidRPr="00B704F7">
        <w:rPr>
          <w:sz w:val="22"/>
          <w:szCs w:val="22"/>
        </w:rPr>
        <w:t>Diskuse se zaměřila především na podmínky, které český průmysl potřebuje pro realizaci dekarbonizačních investic, a na roli státu při jejich vytváření.</w:t>
      </w:r>
      <w:r>
        <w:rPr>
          <w:sz w:val="22"/>
          <w:szCs w:val="22"/>
        </w:rPr>
        <w:t xml:space="preserve"> V panelu </w:t>
      </w:r>
      <w:r w:rsidRPr="00B704F7">
        <w:rPr>
          <w:sz w:val="22"/>
          <w:szCs w:val="22"/>
        </w:rPr>
        <w:t>zazněla shoda na potřebě spojovat dekarbonizaci se zachováním konkurenceschopnosti českého průmyslu. Ministr průmyslu a obchodu Karel Havlíček zdůraznil snahu České republiky o racionálnější nastavení evropské klimatické a průmyslové politiky, včetně snahy o revizi systému EU ETS. Současně deklaroval, že vláda bude usilovat o to, aby se maximum prostředků získaných v rámci EU ETS 1 vracelo zpět do dekarbonizace českého průmyslu.</w:t>
      </w:r>
    </w:p>
    <w:p w14:paraId="0BD7CEFD" w14:textId="06D7415C" w:rsidR="005B63F5" w:rsidRDefault="005B63F5" w:rsidP="00B704F7">
      <w:pPr>
        <w:spacing w:before="120" w:after="120"/>
        <w:jc w:val="both"/>
        <w:rPr>
          <w:sz w:val="22"/>
          <w:szCs w:val="22"/>
        </w:rPr>
      </w:pPr>
      <w:r w:rsidRPr="005B63F5">
        <w:rPr>
          <w:sz w:val="22"/>
          <w:szCs w:val="22"/>
        </w:rPr>
        <w:t>Ministr životního prostředí Igor Červený zdůraznil význam konkrétních technických a ekonomických podkladů z průmyslu pro formulaci českých pozic při jednáních na evropské úrovni. Česká republika má odlišnou strukturu průmyslu, energetiky i geografické podmínky než řada severních či jižních států EU a tyto skutečnosti je podle něj nutné při přípravě evropských opatření zohledňovat. Současně uvedl, že Česká republika by měla mít Modernizační fond k dispozici i po roce 2030, a tedy zachovat významný zdroj financování dekarbonizace českého průmyslu i v následujícím období.</w:t>
      </w:r>
    </w:p>
    <w:p w14:paraId="3A522308" w14:textId="1C69AA27" w:rsidR="00B704F7" w:rsidRDefault="00B704F7" w:rsidP="00B704F7">
      <w:pPr>
        <w:spacing w:before="120" w:after="120"/>
        <w:jc w:val="both"/>
        <w:rPr>
          <w:sz w:val="22"/>
          <w:szCs w:val="22"/>
        </w:rPr>
      </w:pPr>
      <w:r w:rsidRPr="00B704F7">
        <w:rPr>
          <w:sz w:val="22"/>
          <w:szCs w:val="22"/>
        </w:rPr>
        <w:t>Třinecké železárny ukázaly, že průmysl již připravuje zásadní investice do vlastní dekarbonizace. Jejich plán počítá s přechodem na novou elektroocelárnu a s</w:t>
      </w:r>
      <w:r w:rsidR="005B63F5">
        <w:rPr>
          <w:sz w:val="22"/>
          <w:szCs w:val="22"/>
        </w:rPr>
        <w:t> </w:t>
      </w:r>
      <w:r w:rsidRPr="00B704F7">
        <w:rPr>
          <w:sz w:val="22"/>
          <w:szCs w:val="22"/>
        </w:rPr>
        <w:t>výrazným</w:t>
      </w:r>
      <w:r w:rsidR="005B63F5">
        <w:rPr>
          <w:sz w:val="22"/>
          <w:szCs w:val="22"/>
        </w:rPr>
        <w:t xml:space="preserve"> </w:t>
      </w:r>
      <w:r w:rsidRPr="00B704F7">
        <w:rPr>
          <w:sz w:val="22"/>
          <w:szCs w:val="22"/>
        </w:rPr>
        <w:t>snížením emisí z</w:t>
      </w:r>
      <w:r w:rsidR="005B63F5">
        <w:rPr>
          <w:sz w:val="22"/>
          <w:szCs w:val="22"/>
        </w:rPr>
        <w:t> </w:t>
      </w:r>
      <w:r w:rsidRPr="00B704F7">
        <w:rPr>
          <w:sz w:val="22"/>
          <w:szCs w:val="22"/>
        </w:rPr>
        <w:t>dnešních</w:t>
      </w:r>
      <w:r w:rsidR="005B63F5">
        <w:rPr>
          <w:sz w:val="22"/>
          <w:szCs w:val="22"/>
        </w:rPr>
        <w:t xml:space="preserve"> </w:t>
      </w:r>
      <w:r w:rsidRPr="00B704F7">
        <w:rPr>
          <w:sz w:val="22"/>
          <w:szCs w:val="22"/>
        </w:rPr>
        <w:t>přibližně 4 Mt</w:t>
      </w:r>
      <w:r>
        <w:rPr>
          <w:sz w:val="22"/>
          <w:szCs w:val="22"/>
        </w:rPr>
        <w:t xml:space="preserve"> </w:t>
      </w:r>
      <w:r w:rsidRPr="00B704F7">
        <w:rPr>
          <w:sz w:val="22"/>
          <w:szCs w:val="22"/>
        </w:rPr>
        <w:t>CO₂ ročně na přibližně 0,75 Mt v roce 2035. I poté však zůstanou emise v řádu stovek tisíc tun ročně, pro jejichž další odstranění bude nutné hledat další technická řešení včetně CCUS.</w:t>
      </w:r>
    </w:p>
    <w:p w14:paraId="42627A31" w14:textId="0C43A893" w:rsidR="00B704F7" w:rsidRPr="00B704F7" w:rsidRDefault="00B704F7" w:rsidP="00B704F7">
      <w:pPr>
        <w:spacing w:before="120" w:after="120"/>
        <w:jc w:val="both"/>
        <w:rPr>
          <w:sz w:val="22"/>
          <w:szCs w:val="22"/>
        </w:rPr>
      </w:pPr>
      <w:r w:rsidRPr="00B704F7">
        <w:rPr>
          <w:sz w:val="22"/>
          <w:szCs w:val="22"/>
        </w:rPr>
        <w:lastRenderedPageBreak/>
        <w:t xml:space="preserve">Zástupci průmyslu </w:t>
      </w:r>
      <w:r w:rsidR="005B63F5">
        <w:rPr>
          <w:sz w:val="22"/>
          <w:szCs w:val="22"/>
        </w:rPr>
        <w:t xml:space="preserve">v diskusi </w:t>
      </w:r>
      <w:r w:rsidRPr="00B704F7">
        <w:rPr>
          <w:sz w:val="22"/>
          <w:szCs w:val="22"/>
        </w:rPr>
        <w:t>současně upozornili, že příprava rozsáhlých dekarbonizačních projektů vyžaduje stabilní a předvídatelné legislativní a investiční prostředí. Podniky potřebují znát budoucí podmínky veřejné podpory, způsob sdílení rizika prvních projektů a roli státu při vzniku společné infrastruktury. Vedle investičních nákladů bude nutné řešit také dlouhodobé provozní náklady, dostupnost nízkoemisní energie a případné nástroje typu Carbon Contracts for Difference. Právě otázky infrastruktury, ceny nízkoemisní elektřiny, provozní podpory a sdílení rizika patřily mezi hlavní témata diskuse.</w:t>
      </w:r>
    </w:p>
    <w:p w14:paraId="64EB97E8" w14:textId="77777777" w:rsidR="00B704F7" w:rsidRPr="00B704F7" w:rsidRDefault="00B704F7" w:rsidP="00B704F7">
      <w:pPr>
        <w:spacing w:before="120" w:after="120"/>
        <w:jc w:val="both"/>
        <w:rPr>
          <w:b/>
          <w:bCs/>
          <w:sz w:val="22"/>
          <w:szCs w:val="22"/>
        </w:rPr>
      </w:pPr>
      <w:r w:rsidRPr="00B704F7">
        <w:rPr>
          <w:b/>
          <w:bCs/>
          <w:sz w:val="22"/>
          <w:szCs w:val="22"/>
        </w:rPr>
        <w:t>Český CCUS se posouvá od koncepce ke konkrétním projektům</w:t>
      </w:r>
    </w:p>
    <w:p w14:paraId="3D2F97FE" w14:textId="4FE43969" w:rsidR="00B704F7" w:rsidRPr="00B704F7" w:rsidRDefault="00B704F7" w:rsidP="00B704F7">
      <w:pPr>
        <w:spacing w:before="120" w:after="120"/>
        <w:jc w:val="both"/>
        <w:rPr>
          <w:sz w:val="22"/>
          <w:szCs w:val="22"/>
        </w:rPr>
      </w:pPr>
      <w:r w:rsidRPr="00B704F7">
        <w:rPr>
          <w:sz w:val="22"/>
          <w:szCs w:val="22"/>
        </w:rPr>
        <w:t xml:space="preserve">Druhý panel ukázal, že jednotlivé části budoucího českého CCUS řetězce již mají konkrétní průmyslové a odborné nositele. Vedle zdrojů a záchytu CO₂ byly představeny projekty přepravní infrastruktury, příprava geologického ukládání i první demonstrační projekty. Cílem dalšího postupu je tyto aktivity vzájemně propojit a časově koordinovat. </w:t>
      </w:r>
    </w:p>
    <w:p w14:paraId="38C214B9" w14:textId="3C56B54F" w:rsidR="005B63F5" w:rsidRDefault="00B704F7" w:rsidP="00B704F7">
      <w:pPr>
        <w:spacing w:before="120" w:after="120"/>
        <w:jc w:val="both"/>
        <w:rPr>
          <w:sz w:val="22"/>
          <w:szCs w:val="22"/>
        </w:rPr>
      </w:pPr>
      <w:r w:rsidRPr="005B63F5">
        <w:rPr>
          <w:sz w:val="22"/>
          <w:szCs w:val="22"/>
        </w:rPr>
        <w:t>Svaz výrobců cementu upozornil na specifickou situaci cementářství, kde významná část emisí vzniká přímo chemickým rozkladem vápence a nelze ji odstranit změnou paliva</w:t>
      </w:r>
      <w:r w:rsidR="005B63F5" w:rsidRPr="005B63F5">
        <w:rPr>
          <w:sz w:val="22"/>
          <w:szCs w:val="22"/>
        </w:rPr>
        <w:t xml:space="preserve">. Pro další zásadní snížení těchto procesních emisí proto představují technologie CCUS </w:t>
      </w:r>
      <w:r w:rsidR="00CA60C5">
        <w:rPr>
          <w:sz w:val="22"/>
          <w:szCs w:val="22"/>
        </w:rPr>
        <w:t>jedno z </w:t>
      </w:r>
      <w:r w:rsidR="005B63F5" w:rsidRPr="005B63F5">
        <w:rPr>
          <w:sz w:val="22"/>
          <w:szCs w:val="22"/>
        </w:rPr>
        <w:t>klíčov</w:t>
      </w:r>
      <w:r w:rsidR="00CA60C5">
        <w:rPr>
          <w:sz w:val="22"/>
          <w:szCs w:val="22"/>
        </w:rPr>
        <w:t xml:space="preserve">ých </w:t>
      </w:r>
      <w:r w:rsidR="005B63F5" w:rsidRPr="005B63F5">
        <w:rPr>
          <w:sz w:val="22"/>
          <w:szCs w:val="22"/>
        </w:rPr>
        <w:t>řešení.</w:t>
      </w:r>
      <w:r w:rsidRPr="005B63F5">
        <w:rPr>
          <w:sz w:val="22"/>
          <w:szCs w:val="22"/>
        </w:rPr>
        <w:t xml:space="preserve"> Společnost</w:t>
      </w:r>
      <w:r w:rsidRPr="00B704F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Holcim </w:t>
      </w:r>
      <w:r w:rsidR="00F11D23">
        <w:rPr>
          <w:sz w:val="22"/>
          <w:szCs w:val="22"/>
        </w:rPr>
        <w:t xml:space="preserve">Česko </w:t>
      </w:r>
      <w:r w:rsidRPr="00B704F7">
        <w:rPr>
          <w:sz w:val="22"/>
          <w:szCs w:val="22"/>
        </w:rPr>
        <w:t xml:space="preserve">již realizuje vlastní dekarbonizační opatření, včetně nové linky na kalcinovaný jíl, která podle </w:t>
      </w:r>
      <w:r w:rsidR="00CA60C5">
        <w:rPr>
          <w:sz w:val="22"/>
          <w:szCs w:val="22"/>
        </w:rPr>
        <w:t xml:space="preserve">společnosti </w:t>
      </w:r>
      <w:r w:rsidRPr="00B704F7">
        <w:rPr>
          <w:sz w:val="22"/>
          <w:szCs w:val="22"/>
        </w:rPr>
        <w:t xml:space="preserve">Holcim </w:t>
      </w:r>
      <w:r w:rsidR="00F11D23">
        <w:rPr>
          <w:sz w:val="22"/>
          <w:szCs w:val="22"/>
        </w:rPr>
        <w:t xml:space="preserve">Česko </w:t>
      </w:r>
      <w:r w:rsidRPr="00B704F7">
        <w:rPr>
          <w:sz w:val="22"/>
          <w:szCs w:val="22"/>
        </w:rPr>
        <w:t xml:space="preserve">přináší úsporu přibližně 45 kt CO₂ ročně a snižuje uhlíkovou stopu cementu přibližně o 30 %. Pro další fázi dekarbonizace však </w:t>
      </w:r>
      <w:r>
        <w:rPr>
          <w:sz w:val="22"/>
          <w:szCs w:val="22"/>
        </w:rPr>
        <w:t xml:space="preserve">již </w:t>
      </w:r>
      <w:r w:rsidRPr="00B704F7">
        <w:rPr>
          <w:sz w:val="22"/>
          <w:szCs w:val="22"/>
        </w:rPr>
        <w:t xml:space="preserve">bude nezbytný záchyt CO₂ a dostupná přepravní a ukládací infrastruktura. Mezi podmínky realizace Holcim řadí také dostatek nízkoemisní energie, finanční nástroje a de-risking, rychlé povolování a stabilní investiční prostředí. </w:t>
      </w:r>
    </w:p>
    <w:p w14:paraId="425F4911" w14:textId="4F703E0B" w:rsidR="005B63F5" w:rsidRPr="005B63F5" w:rsidRDefault="005B63F5" w:rsidP="00B704F7">
      <w:pPr>
        <w:spacing w:before="120" w:after="120"/>
        <w:jc w:val="both"/>
        <w:rPr>
          <w:sz w:val="22"/>
          <w:szCs w:val="22"/>
        </w:rPr>
      </w:pPr>
      <w:r w:rsidRPr="005B63F5">
        <w:rPr>
          <w:sz w:val="22"/>
          <w:szCs w:val="22"/>
        </w:rPr>
        <w:t>Obdobná situace je ve výrobě vápna, kde rovněž vzniká významný podíl procesních emisí přímo rozkladem vápence. Společnost Lhoist představila postup přípravy investičních projektů od studie proveditelnosti přes inženýrské fáze pre-FEED a FEED až k</w:t>
      </w:r>
      <w:r w:rsidR="00776086">
        <w:rPr>
          <w:sz w:val="22"/>
          <w:szCs w:val="22"/>
        </w:rPr>
        <w:t> </w:t>
      </w:r>
      <w:r w:rsidRPr="005B63F5">
        <w:rPr>
          <w:sz w:val="22"/>
          <w:szCs w:val="22"/>
        </w:rPr>
        <w:t>investičnímu</w:t>
      </w:r>
      <w:r w:rsidR="00776086">
        <w:rPr>
          <w:sz w:val="22"/>
          <w:szCs w:val="22"/>
        </w:rPr>
        <w:t xml:space="preserve"> </w:t>
      </w:r>
      <w:r w:rsidRPr="005B63F5">
        <w:rPr>
          <w:sz w:val="22"/>
          <w:szCs w:val="22"/>
        </w:rPr>
        <w:t>rozhodnutí a samotné realizaci záchytu CO₂. Jako nezbytné podmínky pro tuto investici uvedla především připravenou infrastrukturu pro přepravu a ukládání CO₂ a řešení podpory investičních i provozních nákladů.</w:t>
      </w:r>
    </w:p>
    <w:p w14:paraId="3618E4BF" w14:textId="4C375980" w:rsidR="00B704F7" w:rsidRPr="00B704F7" w:rsidRDefault="00B704F7" w:rsidP="00B704F7">
      <w:pPr>
        <w:spacing w:before="120" w:after="120"/>
        <w:jc w:val="both"/>
        <w:rPr>
          <w:sz w:val="22"/>
          <w:szCs w:val="22"/>
        </w:rPr>
      </w:pPr>
      <w:r w:rsidRPr="00B704F7">
        <w:rPr>
          <w:sz w:val="22"/>
          <w:szCs w:val="22"/>
        </w:rPr>
        <w:t>V</w:t>
      </w:r>
      <w:r w:rsidR="00776086">
        <w:rPr>
          <w:sz w:val="22"/>
          <w:szCs w:val="22"/>
        </w:rPr>
        <w:t> </w:t>
      </w:r>
      <w:r w:rsidRPr="00B704F7">
        <w:rPr>
          <w:sz w:val="22"/>
          <w:szCs w:val="22"/>
        </w:rPr>
        <w:t>oblasti</w:t>
      </w:r>
      <w:r w:rsidR="00776086">
        <w:rPr>
          <w:sz w:val="22"/>
          <w:szCs w:val="22"/>
        </w:rPr>
        <w:t xml:space="preserve"> </w:t>
      </w:r>
      <w:r w:rsidRPr="00B704F7">
        <w:rPr>
          <w:sz w:val="22"/>
          <w:szCs w:val="22"/>
        </w:rPr>
        <w:t xml:space="preserve">přepravy CO₂ </w:t>
      </w:r>
      <w:r w:rsidR="006E52E7">
        <w:rPr>
          <w:sz w:val="22"/>
          <w:szCs w:val="22"/>
        </w:rPr>
        <w:t xml:space="preserve">představil </w:t>
      </w:r>
      <w:r w:rsidRPr="00B704F7">
        <w:rPr>
          <w:sz w:val="22"/>
          <w:szCs w:val="22"/>
        </w:rPr>
        <w:t xml:space="preserve">NET4GAS </w:t>
      </w:r>
      <w:r w:rsidR="006E52E7">
        <w:rPr>
          <w:sz w:val="22"/>
          <w:szCs w:val="22"/>
        </w:rPr>
        <w:t xml:space="preserve">přeshraniční projekt </w:t>
      </w:r>
      <w:r w:rsidRPr="00B704F7">
        <w:rPr>
          <w:sz w:val="22"/>
          <w:szCs w:val="22"/>
        </w:rPr>
        <w:t>s</w:t>
      </w:r>
      <w:r w:rsidR="006E52E7">
        <w:rPr>
          <w:sz w:val="22"/>
          <w:szCs w:val="22"/>
        </w:rPr>
        <w:t> </w:t>
      </w:r>
      <w:r w:rsidRPr="00B704F7">
        <w:rPr>
          <w:sz w:val="22"/>
          <w:szCs w:val="22"/>
        </w:rPr>
        <w:t>německou</w:t>
      </w:r>
      <w:r w:rsidR="006E52E7">
        <w:rPr>
          <w:sz w:val="22"/>
          <w:szCs w:val="22"/>
        </w:rPr>
        <w:t xml:space="preserve"> </w:t>
      </w:r>
      <w:r w:rsidRPr="00B704F7">
        <w:rPr>
          <w:sz w:val="22"/>
          <w:szCs w:val="22"/>
        </w:rPr>
        <w:t>společností ONTRAS</w:t>
      </w:r>
      <w:r w:rsidR="006E52E7">
        <w:rPr>
          <w:sz w:val="22"/>
          <w:szCs w:val="22"/>
        </w:rPr>
        <w:t xml:space="preserve">, </w:t>
      </w:r>
      <w:r w:rsidR="001E3079">
        <w:rPr>
          <w:sz w:val="22"/>
          <w:szCs w:val="22"/>
        </w:rPr>
        <w:t>v jehož rámci se připravuje</w:t>
      </w:r>
      <w:r w:rsidRPr="00B704F7">
        <w:rPr>
          <w:sz w:val="22"/>
          <w:szCs w:val="22"/>
        </w:rPr>
        <w:t xml:space="preserve"> propojení České republiky s</w:t>
      </w:r>
      <w:r w:rsidR="00776086">
        <w:rPr>
          <w:sz w:val="22"/>
          <w:szCs w:val="22"/>
        </w:rPr>
        <w:t> </w:t>
      </w:r>
      <w:r w:rsidRPr="00B704F7">
        <w:rPr>
          <w:sz w:val="22"/>
          <w:szCs w:val="22"/>
        </w:rPr>
        <w:t>německou</w:t>
      </w:r>
      <w:r w:rsidR="00776086">
        <w:rPr>
          <w:sz w:val="22"/>
          <w:szCs w:val="22"/>
        </w:rPr>
        <w:t xml:space="preserve"> </w:t>
      </w:r>
      <w:r w:rsidRPr="00B704F7">
        <w:rPr>
          <w:sz w:val="22"/>
          <w:szCs w:val="22"/>
        </w:rPr>
        <w:t xml:space="preserve">a navazující evropskou CO₂ infrastrukturou. Central European CO₂ Interconnector </w:t>
      </w:r>
      <w:r w:rsidR="001E3079" w:rsidRPr="001E3079">
        <w:rPr>
          <w:sz w:val="22"/>
          <w:szCs w:val="22"/>
        </w:rPr>
        <w:t>je navrhován jako vysokokapacitní infrastruktura, která má v první fázi nabídnout kapacitu více než 5 Mt CO₂ ročně s možností dalšího rozšíření</w:t>
      </w:r>
      <w:r w:rsidR="001E3079">
        <w:rPr>
          <w:sz w:val="22"/>
          <w:szCs w:val="22"/>
        </w:rPr>
        <w:t xml:space="preserve">, </w:t>
      </w:r>
      <w:r w:rsidRPr="00B704F7">
        <w:rPr>
          <w:sz w:val="22"/>
          <w:szCs w:val="22"/>
        </w:rPr>
        <w:t xml:space="preserve">a vytvořit </w:t>
      </w:r>
      <w:r w:rsidR="001E3079">
        <w:rPr>
          <w:sz w:val="22"/>
          <w:szCs w:val="22"/>
        </w:rPr>
        <w:t xml:space="preserve">tak </w:t>
      </w:r>
      <w:r w:rsidRPr="00B704F7">
        <w:rPr>
          <w:sz w:val="22"/>
          <w:szCs w:val="22"/>
        </w:rPr>
        <w:t>českým emitentům přístup mimo jiné k</w:t>
      </w:r>
      <w:r w:rsidR="00776086">
        <w:rPr>
          <w:sz w:val="22"/>
          <w:szCs w:val="22"/>
        </w:rPr>
        <w:t> </w:t>
      </w:r>
      <w:r w:rsidRPr="00B704F7">
        <w:rPr>
          <w:sz w:val="22"/>
          <w:szCs w:val="22"/>
        </w:rPr>
        <w:t>offshore</w:t>
      </w:r>
      <w:r w:rsidR="00776086">
        <w:rPr>
          <w:sz w:val="22"/>
          <w:szCs w:val="22"/>
        </w:rPr>
        <w:t xml:space="preserve"> </w:t>
      </w:r>
      <w:r w:rsidRPr="00B704F7">
        <w:rPr>
          <w:sz w:val="22"/>
          <w:szCs w:val="22"/>
        </w:rPr>
        <w:t>úložištím v</w:t>
      </w:r>
      <w:r w:rsidR="00776086">
        <w:rPr>
          <w:sz w:val="22"/>
          <w:szCs w:val="22"/>
        </w:rPr>
        <w:t> </w:t>
      </w:r>
      <w:r w:rsidRPr="00B704F7">
        <w:rPr>
          <w:sz w:val="22"/>
          <w:szCs w:val="22"/>
        </w:rPr>
        <w:t>oblasti</w:t>
      </w:r>
      <w:r w:rsidR="00776086">
        <w:rPr>
          <w:sz w:val="22"/>
          <w:szCs w:val="22"/>
        </w:rPr>
        <w:t xml:space="preserve"> </w:t>
      </w:r>
      <w:r w:rsidRPr="00B704F7">
        <w:rPr>
          <w:sz w:val="22"/>
          <w:szCs w:val="22"/>
        </w:rPr>
        <w:t xml:space="preserve">Severního moře. NET4GAS se současně podílí </w:t>
      </w:r>
      <w:r w:rsidR="001E3079">
        <w:rPr>
          <w:sz w:val="22"/>
          <w:szCs w:val="22"/>
        </w:rPr>
        <w:t xml:space="preserve">společně </w:t>
      </w:r>
      <w:r w:rsidRPr="00B704F7">
        <w:rPr>
          <w:sz w:val="22"/>
          <w:szCs w:val="22"/>
        </w:rPr>
        <w:t>s</w:t>
      </w:r>
      <w:r w:rsidR="00776086">
        <w:rPr>
          <w:sz w:val="22"/>
          <w:szCs w:val="22"/>
        </w:rPr>
        <w:t> </w:t>
      </w:r>
      <w:r w:rsidRPr="00B704F7">
        <w:rPr>
          <w:sz w:val="22"/>
          <w:szCs w:val="22"/>
        </w:rPr>
        <w:t>UJEP</w:t>
      </w:r>
      <w:r w:rsidR="00776086">
        <w:rPr>
          <w:sz w:val="22"/>
          <w:szCs w:val="22"/>
        </w:rPr>
        <w:t xml:space="preserve"> </w:t>
      </w:r>
      <w:r w:rsidRPr="00B704F7">
        <w:rPr>
          <w:sz w:val="22"/>
          <w:szCs w:val="22"/>
        </w:rPr>
        <w:t>a CO2CZ na přípravě studie budoucí přepravní soustavy CO₂ v</w:t>
      </w:r>
      <w:r w:rsidR="00776086">
        <w:rPr>
          <w:sz w:val="22"/>
          <w:szCs w:val="22"/>
        </w:rPr>
        <w:t> </w:t>
      </w:r>
      <w:r w:rsidRPr="00B704F7">
        <w:rPr>
          <w:sz w:val="22"/>
          <w:szCs w:val="22"/>
        </w:rPr>
        <w:t>České</w:t>
      </w:r>
      <w:r w:rsidR="00776086">
        <w:rPr>
          <w:sz w:val="22"/>
          <w:szCs w:val="22"/>
        </w:rPr>
        <w:t xml:space="preserve"> </w:t>
      </w:r>
      <w:r w:rsidRPr="00B704F7">
        <w:rPr>
          <w:sz w:val="22"/>
          <w:szCs w:val="22"/>
        </w:rPr>
        <w:t>republice v programu TA ČR THÉTA 2.</w:t>
      </w:r>
    </w:p>
    <w:p w14:paraId="740C4608" w14:textId="14D19E6B" w:rsidR="00B704F7" w:rsidRDefault="006E52E7" w:rsidP="00B704F7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Vedle přepravy a ukládání </w:t>
      </w:r>
      <w:r w:rsidRPr="00B704F7">
        <w:rPr>
          <w:sz w:val="22"/>
          <w:szCs w:val="22"/>
        </w:rPr>
        <w:t>CO₂</w:t>
      </w:r>
      <w:r>
        <w:rPr>
          <w:sz w:val="22"/>
          <w:szCs w:val="22"/>
        </w:rPr>
        <w:t xml:space="preserve"> mimo Českou republiku </w:t>
      </w:r>
      <w:r w:rsidRPr="00B704F7">
        <w:rPr>
          <w:sz w:val="22"/>
          <w:szCs w:val="22"/>
        </w:rPr>
        <w:t xml:space="preserve">představuje </w:t>
      </w:r>
      <w:r>
        <w:rPr>
          <w:sz w:val="22"/>
          <w:szCs w:val="22"/>
        </w:rPr>
        <w:t>t</w:t>
      </w:r>
      <w:r w:rsidR="00B704F7" w:rsidRPr="00B704F7">
        <w:rPr>
          <w:sz w:val="22"/>
          <w:szCs w:val="22"/>
        </w:rPr>
        <w:t>aké domácí geologické ukládání reálnou variantu, kterou je však nutné dále ověřit. Podle ČGS je v</w:t>
      </w:r>
      <w:r w:rsidR="00776086">
        <w:rPr>
          <w:sz w:val="22"/>
          <w:szCs w:val="22"/>
        </w:rPr>
        <w:t> </w:t>
      </w:r>
      <w:r w:rsidR="00B704F7" w:rsidRPr="00B704F7">
        <w:rPr>
          <w:sz w:val="22"/>
          <w:szCs w:val="22"/>
        </w:rPr>
        <w:t>ČR</w:t>
      </w:r>
      <w:r w:rsidR="00776086">
        <w:rPr>
          <w:sz w:val="22"/>
          <w:szCs w:val="22"/>
        </w:rPr>
        <w:t xml:space="preserve"> </w:t>
      </w:r>
      <w:r w:rsidR="00B704F7" w:rsidRPr="00B704F7">
        <w:rPr>
          <w:sz w:val="22"/>
          <w:szCs w:val="22"/>
        </w:rPr>
        <w:t>k</w:t>
      </w:r>
      <w:r w:rsidR="00776086">
        <w:rPr>
          <w:sz w:val="22"/>
          <w:szCs w:val="22"/>
        </w:rPr>
        <w:t> </w:t>
      </w:r>
      <w:r w:rsidR="00B704F7" w:rsidRPr="00B704F7">
        <w:rPr>
          <w:sz w:val="22"/>
          <w:szCs w:val="22"/>
        </w:rPr>
        <w:t>dispozici</w:t>
      </w:r>
      <w:r w:rsidR="00776086">
        <w:rPr>
          <w:sz w:val="22"/>
          <w:szCs w:val="22"/>
        </w:rPr>
        <w:t xml:space="preserve"> </w:t>
      </w:r>
      <w:r w:rsidR="00B704F7" w:rsidRPr="00B704F7">
        <w:rPr>
          <w:sz w:val="22"/>
          <w:szCs w:val="22"/>
        </w:rPr>
        <w:t>potřebná legislativa a zkušenosti z</w:t>
      </w:r>
      <w:r w:rsidR="00776086">
        <w:rPr>
          <w:sz w:val="22"/>
          <w:szCs w:val="22"/>
        </w:rPr>
        <w:t> </w:t>
      </w:r>
      <w:r w:rsidR="00B704F7" w:rsidRPr="00B704F7">
        <w:rPr>
          <w:sz w:val="22"/>
          <w:szCs w:val="22"/>
        </w:rPr>
        <w:t>dosavadních</w:t>
      </w:r>
      <w:r w:rsidR="00776086">
        <w:rPr>
          <w:sz w:val="22"/>
          <w:szCs w:val="22"/>
        </w:rPr>
        <w:t xml:space="preserve"> </w:t>
      </w:r>
      <w:r w:rsidR="00B704F7" w:rsidRPr="00B704F7">
        <w:rPr>
          <w:sz w:val="22"/>
          <w:szCs w:val="22"/>
        </w:rPr>
        <w:t>výzkumných projektů. V</w:t>
      </w:r>
      <w:r w:rsidR="00776086">
        <w:rPr>
          <w:sz w:val="22"/>
          <w:szCs w:val="22"/>
        </w:rPr>
        <w:t> </w:t>
      </w:r>
      <w:r w:rsidR="00B704F7" w:rsidRPr="00B704F7">
        <w:rPr>
          <w:sz w:val="22"/>
          <w:szCs w:val="22"/>
        </w:rPr>
        <w:t>perspektivních</w:t>
      </w:r>
      <w:r w:rsidR="00776086">
        <w:rPr>
          <w:sz w:val="22"/>
          <w:szCs w:val="22"/>
        </w:rPr>
        <w:t xml:space="preserve"> </w:t>
      </w:r>
      <w:r w:rsidR="00B704F7" w:rsidRPr="00B704F7">
        <w:rPr>
          <w:sz w:val="22"/>
          <w:szCs w:val="22"/>
        </w:rPr>
        <w:t>oblastech, například na JV Moravě, se předpokládají kapacity v</w:t>
      </w:r>
      <w:r w:rsidR="00776086">
        <w:rPr>
          <w:sz w:val="22"/>
          <w:szCs w:val="22"/>
        </w:rPr>
        <w:t> </w:t>
      </w:r>
      <w:r w:rsidR="00B704F7" w:rsidRPr="00B704F7">
        <w:rPr>
          <w:sz w:val="22"/>
          <w:szCs w:val="22"/>
        </w:rPr>
        <w:t>řádu</w:t>
      </w:r>
      <w:r w:rsidR="00776086">
        <w:rPr>
          <w:sz w:val="22"/>
          <w:szCs w:val="22"/>
        </w:rPr>
        <w:t xml:space="preserve"> </w:t>
      </w:r>
      <w:r w:rsidR="00B704F7" w:rsidRPr="00B704F7">
        <w:rPr>
          <w:sz w:val="22"/>
          <w:szCs w:val="22"/>
        </w:rPr>
        <w:t>desítek milionů tun CO₂. Pro jejich potvrzení je však nezbytný cílený geologický a geofyzikální průzkum. ČGS je připravena poskytovat odborné konzultace a supervizi při screeningu a charakterizaci lokalit.</w:t>
      </w:r>
    </w:p>
    <w:p w14:paraId="799C32F0" w14:textId="222B1B53" w:rsidR="006E52E7" w:rsidRPr="00B704F7" w:rsidRDefault="006E52E7" w:rsidP="00B704F7">
      <w:pPr>
        <w:spacing w:before="120" w:after="120"/>
        <w:jc w:val="both"/>
        <w:rPr>
          <w:sz w:val="22"/>
          <w:szCs w:val="22"/>
        </w:rPr>
      </w:pPr>
      <w:r w:rsidRPr="006E52E7">
        <w:rPr>
          <w:sz w:val="22"/>
          <w:szCs w:val="22"/>
        </w:rPr>
        <w:t>Na praktickou přípravu domácího ukládání navazují aktivity společnosti MND, která disponuje zkušenostmi v</w:t>
      </w:r>
      <w:r w:rsidR="00776086">
        <w:rPr>
          <w:sz w:val="22"/>
          <w:szCs w:val="22"/>
        </w:rPr>
        <w:t> </w:t>
      </w:r>
      <w:r w:rsidRPr="006E52E7">
        <w:rPr>
          <w:sz w:val="22"/>
          <w:szCs w:val="22"/>
        </w:rPr>
        <w:t>oblasti</w:t>
      </w:r>
      <w:r w:rsidR="00776086">
        <w:rPr>
          <w:sz w:val="22"/>
          <w:szCs w:val="22"/>
        </w:rPr>
        <w:t xml:space="preserve"> </w:t>
      </w:r>
      <w:r w:rsidRPr="006E52E7">
        <w:rPr>
          <w:sz w:val="22"/>
          <w:szCs w:val="22"/>
        </w:rPr>
        <w:t xml:space="preserve">geologie, průzkumu, vrtných prací, těžby a podzemního skladování. MND připravuje další ověřování potenciálu konkrétních geologických struktur, včetně demonstračního projektu ukládání CO₂ a průzkumně-testovacího vrtu pro hluboké slané akvifery. Právě geologický </w:t>
      </w:r>
      <w:r w:rsidRPr="006E52E7">
        <w:rPr>
          <w:sz w:val="22"/>
          <w:szCs w:val="22"/>
        </w:rPr>
        <w:lastRenderedPageBreak/>
        <w:t>průzkum a získání dat z</w:t>
      </w:r>
      <w:r w:rsidR="00776086">
        <w:rPr>
          <w:sz w:val="22"/>
          <w:szCs w:val="22"/>
        </w:rPr>
        <w:t> </w:t>
      </w:r>
      <w:r w:rsidRPr="006E52E7">
        <w:rPr>
          <w:sz w:val="22"/>
          <w:szCs w:val="22"/>
        </w:rPr>
        <w:t>konkrétních</w:t>
      </w:r>
      <w:r w:rsidR="00776086">
        <w:rPr>
          <w:sz w:val="22"/>
          <w:szCs w:val="22"/>
        </w:rPr>
        <w:t xml:space="preserve"> </w:t>
      </w:r>
      <w:r w:rsidRPr="006E52E7">
        <w:rPr>
          <w:sz w:val="22"/>
          <w:szCs w:val="22"/>
        </w:rPr>
        <w:t>lokalit představují jeden z</w:t>
      </w:r>
      <w:r w:rsidR="00776086">
        <w:rPr>
          <w:sz w:val="22"/>
          <w:szCs w:val="22"/>
        </w:rPr>
        <w:t> </w:t>
      </w:r>
      <w:r w:rsidRPr="006E52E7">
        <w:rPr>
          <w:sz w:val="22"/>
          <w:szCs w:val="22"/>
        </w:rPr>
        <w:t>klíčových</w:t>
      </w:r>
      <w:r w:rsidR="00776086">
        <w:rPr>
          <w:sz w:val="22"/>
          <w:szCs w:val="22"/>
        </w:rPr>
        <w:t xml:space="preserve"> </w:t>
      </w:r>
      <w:r w:rsidRPr="006E52E7">
        <w:rPr>
          <w:sz w:val="22"/>
          <w:szCs w:val="22"/>
        </w:rPr>
        <w:t>kroků pro posouzení jejich budoucího komerčního využití. Jednotlivé fáze přípravy úložiště přitom trvají několik let, a proto musí probíhat souběžně s přípravou záchytu a transportu CO₂.</w:t>
      </w:r>
    </w:p>
    <w:p w14:paraId="513EF9A0" w14:textId="3EE23C10" w:rsidR="006E52E7" w:rsidRPr="006E52E7" w:rsidRDefault="006E52E7" w:rsidP="00B704F7">
      <w:pPr>
        <w:spacing w:before="120" w:after="120"/>
        <w:jc w:val="both"/>
        <w:rPr>
          <w:sz w:val="22"/>
          <w:szCs w:val="22"/>
        </w:rPr>
      </w:pPr>
      <w:r w:rsidRPr="006E52E7">
        <w:rPr>
          <w:sz w:val="22"/>
          <w:szCs w:val="22"/>
        </w:rPr>
        <w:t>Prvním konkrétním demonstračním krokem může být spolupráce DEZA a MND, jejímž cílem je prověřit propojení průmyslového zdroje vysoce koncentrovaného CO₂ s jeho využitím při EOR. Projekt pracuje s</w:t>
      </w:r>
      <w:r>
        <w:rPr>
          <w:sz w:val="22"/>
          <w:szCs w:val="22"/>
        </w:rPr>
        <w:t> </w:t>
      </w:r>
      <w:r w:rsidRPr="006E52E7">
        <w:rPr>
          <w:sz w:val="22"/>
          <w:szCs w:val="22"/>
        </w:rPr>
        <w:t>pilotním</w:t>
      </w:r>
      <w:r>
        <w:rPr>
          <w:sz w:val="22"/>
          <w:szCs w:val="22"/>
        </w:rPr>
        <w:t xml:space="preserve"> </w:t>
      </w:r>
      <w:r w:rsidRPr="006E52E7">
        <w:rPr>
          <w:sz w:val="22"/>
          <w:szCs w:val="22"/>
        </w:rPr>
        <w:t>množstvím přibližně 3 kt CO₂ ročně a přepravou kapalného CO₂ mezi Valašským Meziříčím a oblastí Hodonína. Jeho význam spočívá především v praktickém ověření jednotlivých částí řetězce – přípravy CO₂ u emitenta, logistiky, kvality CO₂ a jeho následného využití – a v získání zkušeností využitelných při přípravě dalších projektů CCUS v České republice.</w:t>
      </w:r>
    </w:p>
    <w:p w14:paraId="4D9D6206" w14:textId="77777777" w:rsidR="00B704F7" w:rsidRPr="00B704F7" w:rsidRDefault="00B704F7" w:rsidP="00B704F7">
      <w:pPr>
        <w:spacing w:before="120" w:after="120"/>
        <w:jc w:val="both"/>
        <w:rPr>
          <w:b/>
          <w:bCs/>
          <w:sz w:val="22"/>
          <w:szCs w:val="22"/>
        </w:rPr>
      </w:pPr>
      <w:r w:rsidRPr="00B704F7">
        <w:rPr>
          <w:b/>
          <w:bCs/>
          <w:sz w:val="22"/>
          <w:szCs w:val="22"/>
        </w:rPr>
        <w:t>Hlavní závěr: připravit podmínky pro kvalifikované investiční rozhodnutí</w:t>
      </w:r>
    </w:p>
    <w:p w14:paraId="29C66C74" w14:textId="693F0069" w:rsidR="00B704F7" w:rsidRPr="00B704F7" w:rsidRDefault="00B704F7" w:rsidP="00B704F7">
      <w:pPr>
        <w:spacing w:before="120" w:after="120"/>
        <w:jc w:val="both"/>
        <w:rPr>
          <w:sz w:val="22"/>
          <w:szCs w:val="22"/>
        </w:rPr>
      </w:pPr>
      <w:r w:rsidRPr="00B704F7">
        <w:rPr>
          <w:sz w:val="22"/>
          <w:szCs w:val="22"/>
        </w:rPr>
        <w:t>Konference ukázala, že Česká republika nezačíná v</w:t>
      </w:r>
      <w:r w:rsidR="00776086">
        <w:rPr>
          <w:sz w:val="22"/>
          <w:szCs w:val="22"/>
        </w:rPr>
        <w:t> </w:t>
      </w:r>
      <w:r w:rsidRPr="00B704F7">
        <w:rPr>
          <w:sz w:val="22"/>
          <w:szCs w:val="22"/>
        </w:rPr>
        <w:t>oblasti</w:t>
      </w:r>
      <w:r w:rsidR="00776086">
        <w:rPr>
          <w:sz w:val="22"/>
          <w:szCs w:val="22"/>
        </w:rPr>
        <w:t xml:space="preserve"> </w:t>
      </w:r>
      <w:r w:rsidRPr="00B704F7">
        <w:rPr>
          <w:sz w:val="22"/>
          <w:szCs w:val="22"/>
        </w:rPr>
        <w:t xml:space="preserve">CCUS od nuly. Existují konkrétní průmyslové zdroje a projekty záchytu CO₂, </w:t>
      </w:r>
      <w:r w:rsidR="0014477D">
        <w:rPr>
          <w:sz w:val="22"/>
          <w:szCs w:val="22"/>
        </w:rPr>
        <w:t>rozvíjí se možný koncept</w:t>
      </w:r>
      <w:r w:rsidRPr="00B704F7">
        <w:rPr>
          <w:sz w:val="22"/>
          <w:szCs w:val="22"/>
        </w:rPr>
        <w:t xml:space="preserve"> národní i přeshraniční přepravní infrastruktur</w:t>
      </w:r>
      <w:r w:rsidR="0014477D">
        <w:rPr>
          <w:sz w:val="22"/>
          <w:szCs w:val="22"/>
        </w:rPr>
        <w:t>y</w:t>
      </w:r>
      <w:r w:rsidRPr="00B704F7">
        <w:rPr>
          <w:sz w:val="22"/>
          <w:szCs w:val="22"/>
        </w:rPr>
        <w:t>, probíhá hodnocení domácích možností geologického ukládání a vznikají první demonstrační projekty.</w:t>
      </w:r>
    </w:p>
    <w:p w14:paraId="3C3B63AD" w14:textId="77A9193A" w:rsidR="00B704F7" w:rsidRPr="00B704F7" w:rsidRDefault="00B704F7" w:rsidP="00B704F7">
      <w:pPr>
        <w:spacing w:before="120" w:after="120"/>
        <w:jc w:val="both"/>
        <w:rPr>
          <w:sz w:val="22"/>
          <w:szCs w:val="22"/>
        </w:rPr>
      </w:pPr>
      <w:r w:rsidRPr="00B704F7">
        <w:rPr>
          <w:sz w:val="22"/>
          <w:szCs w:val="22"/>
        </w:rPr>
        <w:t xml:space="preserve">Současně se ukázalo, že hlavní překážky dalšího postupu již nejsou pouze technologické. Pro období příštích několika let lze hlavní podmínky dalšího rozvoje shrnout do </w:t>
      </w:r>
      <w:r w:rsidR="00CA60C5">
        <w:rPr>
          <w:sz w:val="22"/>
          <w:szCs w:val="22"/>
        </w:rPr>
        <w:t>pěti</w:t>
      </w:r>
      <w:r w:rsidRPr="00B704F7">
        <w:rPr>
          <w:sz w:val="22"/>
          <w:szCs w:val="22"/>
        </w:rPr>
        <w:t xml:space="preserve"> oblastí:</w:t>
      </w:r>
    </w:p>
    <w:p w14:paraId="36D4F794" w14:textId="77777777" w:rsidR="00B704F7" w:rsidRPr="00B704F7" w:rsidRDefault="00B704F7" w:rsidP="00B704F7">
      <w:pPr>
        <w:numPr>
          <w:ilvl w:val="0"/>
          <w:numId w:val="42"/>
        </w:numPr>
        <w:spacing w:before="120" w:after="120"/>
        <w:jc w:val="both"/>
        <w:rPr>
          <w:sz w:val="22"/>
          <w:szCs w:val="22"/>
        </w:rPr>
      </w:pPr>
      <w:r w:rsidRPr="00B704F7">
        <w:rPr>
          <w:b/>
          <w:bCs/>
          <w:sz w:val="22"/>
          <w:szCs w:val="22"/>
        </w:rPr>
        <w:t>Předvídatelnost</w:t>
      </w:r>
      <w:r w:rsidRPr="00B704F7">
        <w:rPr>
          <w:sz w:val="22"/>
          <w:szCs w:val="22"/>
        </w:rPr>
        <w:t xml:space="preserve"> – vytvořit stabilní legislativní a investiční podmínky umožňující průmyslu připravovat dlouhodobé investice.</w:t>
      </w:r>
    </w:p>
    <w:p w14:paraId="41F17DB9" w14:textId="77777777" w:rsidR="0014477D" w:rsidRDefault="0014477D" w:rsidP="00B704F7">
      <w:pPr>
        <w:numPr>
          <w:ilvl w:val="0"/>
          <w:numId w:val="42"/>
        </w:numPr>
        <w:spacing w:before="120" w:after="12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Přepravní i</w:t>
      </w:r>
      <w:r w:rsidR="00B704F7" w:rsidRPr="00B704F7">
        <w:rPr>
          <w:b/>
          <w:bCs/>
          <w:sz w:val="22"/>
          <w:szCs w:val="22"/>
        </w:rPr>
        <w:t>nfrastruktura</w:t>
      </w:r>
      <w:r w:rsidR="00B704F7" w:rsidRPr="00B704F7">
        <w:rPr>
          <w:sz w:val="22"/>
          <w:szCs w:val="22"/>
        </w:rPr>
        <w:t xml:space="preserve"> – </w:t>
      </w:r>
      <w:r w:rsidRPr="00F26D7B">
        <w:rPr>
          <w:sz w:val="22"/>
          <w:szCs w:val="22"/>
        </w:rPr>
        <w:t>potřeba zavést jasná a předvídatelná pravidla</w:t>
      </w:r>
      <w:r w:rsidRPr="00B704F7">
        <w:rPr>
          <w:sz w:val="22"/>
          <w:szCs w:val="22"/>
        </w:rPr>
        <w:t xml:space="preserve"> </w:t>
      </w:r>
      <w:r>
        <w:rPr>
          <w:sz w:val="22"/>
          <w:szCs w:val="22"/>
        </w:rPr>
        <w:t>pro přepravu CO</w:t>
      </w:r>
      <w:r w:rsidRPr="0014477D"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>.</w:t>
      </w:r>
    </w:p>
    <w:p w14:paraId="232AC48E" w14:textId="0BFCC984" w:rsidR="00B704F7" w:rsidRPr="00B704F7" w:rsidRDefault="0014477D" w:rsidP="00B704F7">
      <w:pPr>
        <w:numPr>
          <w:ilvl w:val="0"/>
          <w:numId w:val="42"/>
        </w:numPr>
        <w:spacing w:before="120" w:after="120"/>
        <w:jc w:val="both"/>
        <w:rPr>
          <w:sz w:val="22"/>
          <w:szCs w:val="22"/>
        </w:rPr>
      </w:pPr>
      <w:r w:rsidRPr="0014477D">
        <w:rPr>
          <w:b/>
          <w:bCs/>
          <w:sz w:val="22"/>
          <w:szCs w:val="22"/>
        </w:rPr>
        <w:t>Infrastruktura pro ukládání</w:t>
      </w:r>
      <w:r w:rsidRPr="0014477D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14477D">
        <w:rPr>
          <w:sz w:val="22"/>
          <w:szCs w:val="22"/>
        </w:rPr>
        <w:t xml:space="preserve"> vyjasnit</w:t>
      </w:r>
      <w:r>
        <w:rPr>
          <w:sz w:val="22"/>
          <w:szCs w:val="22"/>
        </w:rPr>
        <w:t xml:space="preserve"> </w:t>
      </w:r>
      <w:r w:rsidRPr="0014477D">
        <w:rPr>
          <w:sz w:val="22"/>
          <w:szCs w:val="22"/>
        </w:rPr>
        <w:t>způsob přípravy a financování ukládací infrastruktury a roli státu při jejím vzniku</w:t>
      </w:r>
      <w:r w:rsidR="00B704F7" w:rsidRPr="00B704F7">
        <w:rPr>
          <w:sz w:val="22"/>
          <w:szCs w:val="22"/>
        </w:rPr>
        <w:t>.</w:t>
      </w:r>
    </w:p>
    <w:p w14:paraId="3AC3429E" w14:textId="77777777" w:rsidR="00B704F7" w:rsidRPr="00B704F7" w:rsidRDefault="00B704F7" w:rsidP="00B704F7">
      <w:pPr>
        <w:numPr>
          <w:ilvl w:val="0"/>
          <w:numId w:val="42"/>
        </w:numPr>
        <w:spacing w:before="120" w:after="120"/>
        <w:jc w:val="both"/>
        <w:rPr>
          <w:sz w:val="22"/>
          <w:szCs w:val="22"/>
        </w:rPr>
      </w:pPr>
      <w:r w:rsidRPr="00B704F7">
        <w:rPr>
          <w:b/>
          <w:bCs/>
          <w:sz w:val="22"/>
          <w:szCs w:val="22"/>
        </w:rPr>
        <w:t>Sdílení rizika</w:t>
      </w:r>
      <w:r w:rsidRPr="00B704F7">
        <w:rPr>
          <w:sz w:val="22"/>
          <w:szCs w:val="22"/>
        </w:rPr>
        <w:t xml:space="preserve"> – stanovit, jakým způsobem budou stát a průmysl sdílet riziko prvních demonstračních projektů, geologického průzkumu a dalších investic, jejichž výsledkem má být ověření technické a ekonomické proveditelnosti.</w:t>
      </w:r>
    </w:p>
    <w:p w14:paraId="6FDF88BA" w14:textId="77777777" w:rsidR="00B704F7" w:rsidRPr="00B704F7" w:rsidRDefault="00B704F7" w:rsidP="00B704F7">
      <w:pPr>
        <w:numPr>
          <w:ilvl w:val="0"/>
          <w:numId w:val="42"/>
        </w:numPr>
        <w:spacing w:before="120" w:after="120"/>
        <w:jc w:val="both"/>
        <w:rPr>
          <w:sz w:val="22"/>
          <w:szCs w:val="22"/>
        </w:rPr>
      </w:pPr>
      <w:r w:rsidRPr="00B704F7">
        <w:rPr>
          <w:b/>
          <w:bCs/>
          <w:sz w:val="22"/>
          <w:szCs w:val="22"/>
        </w:rPr>
        <w:t>Ekonomika</w:t>
      </w:r>
      <w:r w:rsidRPr="00B704F7">
        <w:rPr>
          <w:sz w:val="22"/>
          <w:szCs w:val="22"/>
        </w:rPr>
        <w:t xml:space="preserve"> – vedle podpory počátečních investic řešit také provozní ekonomiku projektů, dostupnost konkurenceschopné nízkoemisní energie a vhodné dlouhodobé finanční nástroje.</w:t>
      </w:r>
    </w:p>
    <w:p w14:paraId="5007CF23" w14:textId="77777777" w:rsidR="006E52E7" w:rsidRDefault="006E52E7" w:rsidP="00B704F7">
      <w:pPr>
        <w:spacing w:before="120" w:after="120"/>
        <w:jc w:val="both"/>
        <w:rPr>
          <w:sz w:val="22"/>
          <w:szCs w:val="22"/>
        </w:rPr>
      </w:pPr>
    </w:p>
    <w:p w14:paraId="2DAEDBF0" w14:textId="0034543D" w:rsidR="006E52E7" w:rsidRDefault="006E52E7" w:rsidP="00B704F7">
      <w:pPr>
        <w:spacing w:before="120" w:after="120"/>
        <w:jc w:val="both"/>
        <w:rPr>
          <w:sz w:val="22"/>
          <w:szCs w:val="22"/>
        </w:rPr>
      </w:pPr>
      <w:r w:rsidRPr="006E52E7">
        <w:rPr>
          <w:sz w:val="22"/>
          <w:szCs w:val="22"/>
        </w:rPr>
        <w:t>Cílem současné přípravy CCUS není předjímat budoucí investiční rozhodnutí, ale zajistit, aby Česká republika měla včas k dispozici technicky ověřené a ekonomicky vyhodnocené možnosti. V</w:t>
      </w:r>
      <w:r w:rsidR="00776086">
        <w:rPr>
          <w:sz w:val="22"/>
          <w:szCs w:val="22"/>
        </w:rPr>
        <w:t> </w:t>
      </w:r>
      <w:r w:rsidRPr="006E52E7">
        <w:rPr>
          <w:sz w:val="22"/>
          <w:szCs w:val="22"/>
        </w:rPr>
        <w:t>nejbližších</w:t>
      </w:r>
      <w:r w:rsidR="00776086">
        <w:rPr>
          <w:sz w:val="22"/>
          <w:szCs w:val="22"/>
        </w:rPr>
        <w:t xml:space="preserve"> </w:t>
      </w:r>
      <w:r w:rsidRPr="006E52E7">
        <w:rPr>
          <w:sz w:val="22"/>
          <w:szCs w:val="22"/>
        </w:rPr>
        <w:t>letech je proto nutné prověřit konkrétní projekty, jejich vzájemné propojení a podmínky realizace tak, aby následná rozhodnutí průmyslu i státu vycházela z reálných technických a ekonomických dat.</w:t>
      </w:r>
    </w:p>
    <w:sectPr w:rsidR="006E52E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C3AC9" w14:textId="77777777" w:rsidR="00A70907" w:rsidRDefault="00A70907" w:rsidP="003B7398">
      <w:pPr>
        <w:spacing w:after="0" w:line="240" w:lineRule="auto"/>
      </w:pPr>
      <w:r>
        <w:separator/>
      </w:r>
    </w:p>
  </w:endnote>
  <w:endnote w:type="continuationSeparator" w:id="0">
    <w:p w14:paraId="389E93E3" w14:textId="77777777" w:rsidR="00A70907" w:rsidRDefault="00A70907" w:rsidP="003B7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EC82A" w14:textId="19A10BA1" w:rsidR="003B7398" w:rsidRPr="003B7398" w:rsidRDefault="00A3721D" w:rsidP="00F76622">
    <w:pPr>
      <w:pStyle w:val="Zpat"/>
      <w:pBdr>
        <w:top w:val="single" w:sz="4" w:space="1" w:color="auto"/>
      </w:pBdr>
      <w:jc w:val="both"/>
      <w:rPr>
        <w:sz w:val="22"/>
        <w:szCs w:val="22"/>
      </w:rPr>
    </w:pPr>
    <w:r w:rsidRPr="0002642B">
      <w:rPr>
        <w:noProof/>
        <w:sz w:val="22"/>
        <w:szCs w:val="22"/>
      </w:rPr>
      <w:drawing>
        <wp:inline distT="0" distB="0" distL="0" distR="0" wp14:anchorId="5247D1A7" wp14:editId="2842D1AB">
          <wp:extent cx="1890508" cy="273407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29528" cy="293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6622">
      <w:rPr>
        <w:sz w:val="22"/>
        <w:szCs w:val="22"/>
      </w:rPr>
      <w:tab/>
    </w:r>
    <w:r w:rsidR="00F76622">
      <w:rPr>
        <w:sz w:val="22"/>
        <w:szCs w:val="22"/>
      </w:rPr>
      <w:tab/>
    </w:r>
    <w:r w:rsidR="003B7398" w:rsidRPr="003B7398">
      <w:rPr>
        <w:sz w:val="22"/>
        <w:szCs w:val="22"/>
      </w:rPr>
      <w:t xml:space="preserve">- </w:t>
    </w:r>
    <w:sdt>
      <w:sdtPr>
        <w:rPr>
          <w:sz w:val="22"/>
          <w:szCs w:val="22"/>
        </w:rPr>
        <w:id w:val="1733342442"/>
        <w:docPartObj>
          <w:docPartGallery w:val="Page Numbers (Bottom of Page)"/>
          <w:docPartUnique/>
        </w:docPartObj>
      </w:sdtPr>
      <w:sdtContent>
        <w:r w:rsidR="003B7398" w:rsidRPr="003B7398">
          <w:rPr>
            <w:sz w:val="22"/>
            <w:szCs w:val="22"/>
          </w:rPr>
          <w:fldChar w:fldCharType="begin"/>
        </w:r>
        <w:r w:rsidR="003B7398" w:rsidRPr="003B7398">
          <w:rPr>
            <w:sz w:val="22"/>
            <w:szCs w:val="22"/>
          </w:rPr>
          <w:instrText>PAGE   \* MERGEFORMAT</w:instrText>
        </w:r>
        <w:r w:rsidR="003B7398" w:rsidRPr="003B7398">
          <w:rPr>
            <w:sz w:val="22"/>
            <w:szCs w:val="22"/>
          </w:rPr>
          <w:fldChar w:fldCharType="separate"/>
        </w:r>
        <w:r w:rsidR="003B7398" w:rsidRPr="003B7398">
          <w:rPr>
            <w:sz w:val="22"/>
            <w:szCs w:val="22"/>
          </w:rPr>
          <w:t>2</w:t>
        </w:r>
        <w:r w:rsidR="003B7398" w:rsidRPr="003B7398">
          <w:rPr>
            <w:sz w:val="22"/>
            <w:szCs w:val="22"/>
          </w:rPr>
          <w:fldChar w:fldCharType="end"/>
        </w:r>
      </w:sdtContent>
    </w:sdt>
    <w:r w:rsidR="003B7398" w:rsidRPr="003B7398">
      <w:rPr>
        <w:sz w:val="22"/>
        <w:szCs w:val="22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BB9E8" w14:textId="77777777" w:rsidR="00A70907" w:rsidRDefault="00A70907" w:rsidP="003B7398">
      <w:pPr>
        <w:spacing w:after="0" w:line="240" w:lineRule="auto"/>
      </w:pPr>
      <w:r>
        <w:separator/>
      </w:r>
    </w:p>
  </w:footnote>
  <w:footnote w:type="continuationSeparator" w:id="0">
    <w:p w14:paraId="1C12C08A" w14:textId="77777777" w:rsidR="00A70907" w:rsidRDefault="00A70907" w:rsidP="003B7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B9E0D" w14:textId="4A601A7C" w:rsidR="00F76622" w:rsidRDefault="00F76622" w:rsidP="00F76622">
    <w:pPr>
      <w:pStyle w:val="Zhlav"/>
      <w:pBdr>
        <w:bottom w:val="single" w:sz="4" w:space="1" w:color="auto"/>
      </w:pBdr>
      <w:jc w:val="both"/>
    </w:pPr>
    <w:r w:rsidRPr="00136BA2">
      <w:rPr>
        <w:noProof/>
      </w:rPr>
      <w:drawing>
        <wp:inline distT="0" distB="0" distL="0" distR="0" wp14:anchorId="46155DD2" wp14:editId="3CBD1522">
          <wp:extent cx="2012251" cy="323398"/>
          <wp:effectExtent l="0" t="0" r="7620" b="63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0235" cy="3487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705D67">
      <w:rPr>
        <w:noProof/>
      </w:rPr>
      <w:drawing>
        <wp:inline distT="0" distB="0" distL="0" distR="0" wp14:anchorId="3CE09D02" wp14:editId="0FF41F89">
          <wp:extent cx="730115" cy="356823"/>
          <wp:effectExtent l="0" t="0" r="0" b="5715"/>
          <wp:docPr id="954415612" name="Obrázek 1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4415612" name="Obrázek 1" descr="Obsah obrázku Písmo, Grafika, logo,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861" cy="368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6D04"/>
    <w:multiLevelType w:val="multilevel"/>
    <w:tmpl w:val="EFAC1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57F97"/>
    <w:multiLevelType w:val="multilevel"/>
    <w:tmpl w:val="19E23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20959"/>
    <w:multiLevelType w:val="multilevel"/>
    <w:tmpl w:val="9396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65443E"/>
    <w:multiLevelType w:val="hybridMultilevel"/>
    <w:tmpl w:val="37D40BE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D3D9C"/>
    <w:multiLevelType w:val="multilevel"/>
    <w:tmpl w:val="8E36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B5FCC"/>
    <w:multiLevelType w:val="multilevel"/>
    <w:tmpl w:val="D04C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BD186B"/>
    <w:multiLevelType w:val="multilevel"/>
    <w:tmpl w:val="DA58F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225360"/>
    <w:multiLevelType w:val="multilevel"/>
    <w:tmpl w:val="C64E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122129"/>
    <w:multiLevelType w:val="hybridMultilevel"/>
    <w:tmpl w:val="AFEEC7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9770C"/>
    <w:multiLevelType w:val="multilevel"/>
    <w:tmpl w:val="D4F4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3B6986"/>
    <w:multiLevelType w:val="multilevel"/>
    <w:tmpl w:val="EDC64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D011B"/>
    <w:multiLevelType w:val="multilevel"/>
    <w:tmpl w:val="4B42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B93306"/>
    <w:multiLevelType w:val="multilevel"/>
    <w:tmpl w:val="2F66A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DA04DD"/>
    <w:multiLevelType w:val="multilevel"/>
    <w:tmpl w:val="715C3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F4015E"/>
    <w:multiLevelType w:val="multilevel"/>
    <w:tmpl w:val="25E87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18709D"/>
    <w:multiLevelType w:val="multilevel"/>
    <w:tmpl w:val="F642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561BB8"/>
    <w:multiLevelType w:val="multilevel"/>
    <w:tmpl w:val="414EB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2B443E"/>
    <w:multiLevelType w:val="multilevel"/>
    <w:tmpl w:val="94809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4B0581"/>
    <w:multiLevelType w:val="multilevel"/>
    <w:tmpl w:val="9B56B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C56CA2"/>
    <w:multiLevelType w:val="hybridMultilevel"/>
    <w:tmpl w:val="953A3A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4084E"/>
    <w:multiLevelType w:val="multilevel"/>
    <w:tmpl w:val="6D0A8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CB08E9"/>
    <w:multiLevelType w:val="hybridMultilevel"/>
    <w:tmpl w:val="8DA44EBE"/>
    <w:lvl w:ilvl="0" w:tplc="68367330">
      <w:start w:val="1"/>
      <w:numFmt w:val="decimal"/>
      <w:pStyle w:val="Nadpis1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F96C50"/>
    <w:multiLevelType w:val="multilevel"/>
    <w:tmpl w:val="1AAA4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9665C6"/>
    <w:multiLevelType w:val="hybridMultilevel"/>
    <w:tmpl w:val="FCFE5516"/>
    <w:lvl w:ilvl="0" w:tplc="8D9ADB9C">
      <w:start w:val="1"/>
      <w:numFmt w:val="upperLetter"/>
      <w:pStyle w:val="Nadpis2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167E5F"/>
    <w:multiLevelType w:val="multilevel"/>
    <w:tmpl w:val="AE600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B717F4"/>
    <w:multiLevelType w:val="multilevel"/>
    <w:tmpl w:val="35F4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5213CC"/>
    <w:multiLevelType w:val="multilevel"/>
    <w:tmpl w:val="5C9C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A92D7B"/>
    <w:multiLevelType w:val="multilevel"/>
    <w:tmpl w:val="22E6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DE6880"/>
    <w:multiLevelType w:val="multilevel"/>
    <w:tmpl w:val="68F8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AB1D56"/>
    <w:multiLevelType w:val="multilevel"/>
    <w:tmpl w:val="56E8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144DAA"/>
    <w:multiLevelType w:val="hybridMultilevel"/>
    <w:tmpl w:val="746013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8E45A5"/>
    <w:multiLevelType w:val="multilevel"/>
    <w:tmpl w:val="22F4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1A3833"/>
    <w:multiLevelType w:val="multilevel"/>
    <w:tmpl w:val="91BC3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736336"/>
    <w:multiLevelType w:val="multilevel"/>
    <w:tmpl w:val="D9A8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10690C"/>
    <w:multiLevelType w:val="multilevel"/>
    <w:tmpl w:val="766EC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2257A3"/>
    <w:multiLevelType w:val="multilevel"/>
    <w:tmpl w:val="7D661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351520"/>
    <w:multiLevelType w:val="multilevel"/>
    <w:tmpl w:val="2D0CA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144667"/>
    <w:multiLevelType w:val="multilevel"/>
    <w:tmpl w:val="6318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C93F6D"/>
    <w:multiLevelType w:val="multilevel"/>
    <w:tmpl w:val="10FE5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C365CC"/>
    <w:multiLevelType w:val="multilevel"/>
    <w:tmpl w:val="16FE7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9595950">
    <w:abstractNumId w:val="18"/>
  </w:num>
  <w:num w:numId="2" w16cid:durableId="694960883">
    <w:abstractNumId w:val="11"/>
  </w:num>
  <w:num w:numId="3" w16cid:durableId="503515884">
    <w:abstractNumId w:val="13"/>
  </w:num>
  <w:num w:numId="4" w16cid:durableId="1283800564">
    <w:abstractNumId w:val="14"/>
  </w:num>
  <w:num w:numId="5" w16cid:durableId="1773354662">
    <w:abstractNumId w:val="37"/>
  </w:num>
  <w:num w:numId="6" w16cid:durableId="1843737563">
    <w:abstractNumId w:val="12"/>
  </w:num>
  <w:num w:numId="7" w16cid:durableId="1471898456">
    <w:abstractNumId w:val="22"/>
  </w:num>
  <w:num w:numId="8" w16cid:durableId="286130998">
    <w:abstractNumId w:val="21"/>
  </w:num>
  <w:num w:numId="9" w16cid:durableId="934291729">
    <w:abstractNumId w:val="21"/>
  </w:num>
  <w:num w:numId="10" w16cid:durableId="1138566324">
    <w:abstractNumId w:val="23"/>
  </w:num>
  <w:num w:numId="11" w16cid:durableId="44645941">
    <w:abstractNumId w:val="25"/>
  </w:num>
  <w:num w:numId="12" w16cid:durableId="2046715168">
    <w:abstractNumId w:val="39"/>
  </w:num>
  <w:num w:numId="13" w16cid:durableId="1299339479">
    <w:abstractNumId w:val="27"/>
  </w:num>
  <w:num w:numId="14" w16cid:durableId="1234269427">
    <w:abstractNumId w:val="4"/>
  </w:num>
  <w:num w:numId="15" w16cid:durableId="121850607">
    <w:abstractNumId w:val="31"/>
  </w:num>
  <w:num w:numId="16" w16cid:durableId="493568655">
    <w:abstractNumId w:val="9"/>
  </w:num>
  <w:num w:numId="17" w16cid:durableId="495076036">
    <w:abstractNumId w:val="15"/>
  </w:num>
  <w:num w:numId="18" w16cid:durableId="929243787">
    <w:abstractNumId w:val="7"/>
  </w:num>
  <w:num w:numId="19" w16cid:durableId="1892183514">
    <w:abstractNumId w:val="33"/>
  </w:num>
  <w:num w:numId="20" w16cid:durableId="1821648644">
    <w:abstractNumId w:val="5"/>
  </w:num>
  <w:num w:numId="21" w16cid:durableId="1114134710">
    <w:abstractNumId w:val="2"/>
  </w:num>
  <w:num w:numId="22" w16cid:durableId="2009599739">
    <w:abstractNumId w:val="36"/>
  </w:num>
  <w:num w:numId="23" w16cid:durableId="72167675">
    <w:abstractNumId w:val="26"/>
  </w:num>
  <w:num w:numId="24" w16cid:durableId="1539393744">
    <w:abstractNumId w:val="28"/>
  </w:num>
  <w:num w:numId="25" w16cid:durableId="2112582644">
    <w:abstractNumId w:val="10"/>
  </w:num>
  <w:num w:numId="26" w16cid:durableId="1845166596">
    <w:abstractNumId w:val="38"/>
  </w:num>
  <w:num w:numId="27" w16cid:durableId="16200717">
    <w:abstractNumId w:val="0"/>
  </w:num>
  <w:num w:numId="28" w16cid:durableId="1857881716">
    <w:abstractNumId w:val="16"/>
  </w:num>
  <w:num w:numId="29" w16cid:durableId="624778117">
    <w:abstractNumId w:val="20"/>
  </w:num>
  <w:num w:numId="30" w16cid:durableId="268704483">
    <w:abstractNumId w:val="8"/>
  </w:num>
  <w:num w:numId="31" w16cid:durableId="611014573">
    <w:abstractNumId w:val="19"/>
  </w:num>
  <w:num w:numId="32" w16cid:durableId="1051004957">
    <w:abstractNumId w:val="17"/>
  </w:num>
  <w:num w:numId="33" w16cid:durableId="198250655">
    <w:abstractNumId w:val="35"/>
  </w:num>
  <w:num w:numId="34" w16cid:durableId="689525020">
    <w:abstractNumId w:val="24"/>
  </w:num>
  <w:num w:numId="35" w16cid:durableId="1735617612">
    <w:abstractNumId w:val="32"/>
  </w:num>
  <w:num w:numId="36" w16cid:durableId="346908965">
    <w:abstractNumId w:val="29"/>
  </w:num>
  <w:num w:numId="37" w16cid:durableId="1925724353">
    <w:abstractNumId w:val="1"/>
  </w:num>
  <w:num w:numId="38" w16cid:durableId="813836453">
    <w:abstractNumId w:val="34"/>
  </w:num>
  <w:num w:numId="39" w16cid:durableId="1727755357">
    <w:abstractNumId w:val="30"/>
  </w:num>
  <w:num w:numId="40" w16cid:durableId="1109737863">
    <w:abstractNumId w:val="3"/>
  </w:num>
  <w:num w:numId="41" w16cid:durableId="1494762600">
    <w:abstractNumId w:val="21"/>
  </w:num>
  <w:num w:numId="42" w16cid:durableId="3793297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294"/>
    <w:rsid w:val="000009F2"/>
    <w:rsid w:val="00001AB0"/>
    <w:rsid w:val="000115F8"/>
    <w:rsid w:val="00012499"/>
    <w:rsid w:val="00034F2F"/>
    <w:rsid w:val="00042052"/>
    <w:rsid w:val="00076D35"/>
    <w:rsid w:val="000A1BF5"/>
    <w:rsid w:val="000D5C21"/>
    <w:rsid w:val="000F1ADE"/>
    <w:rsid w:val="000F310C"/>
    <w:rsid w:val="000F311B"/>
    <w:rsid w:val="00120EC1"/>
    <w:rsid w:val="00122093"/>
    <w:rsid w:val="00122909"/>
    <w:rsid w:val="00143CA2"/>
    <w:rsid w:val="0014477D"/>
    <w:rsid w:val="001520AC"/>
    <w:rsid w:val="0015392E"/>
    <w:rsid w:val="00163780"/>
    <w:rsid w:val="00167965"/>
    <w:rsid w:val="00172F6A"/>
    <w:rsid w:val="0017485B"/>
    <w:rsid w:val="00180076"/>
    <w:rsid w:val="0018138A"/>
    <w:rsid w:val="001926E9"/>
    <w:rsid w:val="00197A9C"/>
    <w:rsid w:val="001B6104"/>
    <w:rsid w:val="001E3079"/>
    <w:rsid w:val="001F0D9B"/>
    <w:rsid w:val="001F5342"/>
    <w:rsid w:val="002000F9"/>
    <w:rsid w:val="00221AD1"/>
    <w:rsid w:val="002236B6"/>
    <w:rsid w:val="0024785F"/>
    <w:rsid w:val="0025265C"/>
    <w:rsid w:val="00254860"/>
    <w:rsid w:val="00270049"/>
    <w:rsid w:val="00286D74"/>
    <w:rsid w:val="002A4DB3"/>
    <w:rsid w:val="00322A07"/>
    <w:rsid w:val="00361D86"/>
    <w:rsid w:val="00365F9C"/>
    <w:rsid w:val="00386456"/>
    <w:rsid w:val="003A281D"/>
    <w:rsid w:val="003A5886"/>
    <w:rsid w:val="003B2B2C"/>
    <w:rsid w:val="003B44D6"/>
    <w:rsid w:val="003B7398"/>
    <w:rsid w:val="003C1A49"/>
    <w:rsid w:val="003C3E43"/>
    <w:rsid w:val="003D7453"/>
    <w:rsid w:val="00407506"/>
    <w:rsid w:val="00422F45"/>
    <w:rsid w:val="00432F26"/>
    <w:rsid w:val="004472AD"/>
    <w:rsid w:val="00465A24"/>
    <w:rsid w:val="00465FB4"/>
    <w:rsid w:val="004707D8"/>
    <w:rsid w:val="004926CF"/>
    <w:rsid w:val="004A672C"/>
    <w:rsid w:val="004A71F6"/>
    <w:rsid w:val="004B4714"/>
    <w:rsid w:val="004B4D67"/>
    <w:rsid w:val="004D18FE"/>
    <w:rsid w:val="004D74B3"/>
    <w:rsid w:val="00502A0E"/>
    <w:rsid w:val="0050308B"/>
    <w:rsid w:val="00505EB4"/>
    <w:rsid w:val="005203C0"/>
    <w:rsid w:val="00520C52"/>
    <w:rsid w:val="005279FA"/>
    <w:rsid w:val="005341BE"/>
    <w:rsid w:val="00540F9C"/>
    <w:rsid w:val="00581362"/>
    <w:rsid w:val="00583A50"/>
    <w:rsid w:val="005A3FA5"/>
    <w:rsid w:val="005B175B"/>
    <w:rsid w:val="005B63F5"/>
    <w:rsid w:val="005C4E9A"/>
    <w:rsid w:val="005D1393"/>
    <w:rsid w:val="0060160F"/>
    <w:rsid w:val="006146F4"/>
    <w:rsid w:val="00623DCB"/>
    <w:rsid w:val="00626ADF"/>
    <w:rsid w:val="00646080"/>
    <w:rsid w:val="006A2BCC"/>
    <w:rsid w:val="006C56E6"/>
    <w:rsid w:val="006E52E7"/>
    <w:rsid w:val="006F26C0"/>
    <w:rsid w:val="0070050D"/>
    <w:rsid w:val="00711F7A"/>
    <w:rsid w:val="007379F2"/>
    <w:rsid w:val="007453B8"/>
    <w:rsid w:val="00745561"/>
    <w:rsid w:val="00751AFB"/>
    <w:rsid w:val="0075720A"/>
    <w:rsid w:val="007603ED"/>
    <w:rsid w:val="00764D2B"/>
    <w:rsid w:val="00772294"/>
    <w:rsid w:val="00776086"/>
    <w:rsid w:val="007D2174"/>
    <w:rsid w:val="007E5611"/>
    <w:rsid w:val="007E7CEC"/>
    <w:rsid w:val="008028E5"/>
    <w:rsid w:val="0081642A"/>
    <w:rsid w:val="008242EB"/>
    <w:rsid w:val="00827DAC"/>
    <w:rsid w:val="00833992"/>
    <w:rsid w:val="0085079E"/>
    <w:rsid w:val="00862B9E"/>
    <w:rsid w:val="00883921"/>
    <w:rsid w:val="008D11A8"/>
    <w:rsid w:val="008D16F3"/>
    <w:rsid w:val="008D314B"/>
    <w:rsid w:val="008D5D9F"/>
    <w:rsid w:val="008F6696"/>
    <w:rsid w:val="009030CB"/>
    <w:rsid w:val="0090710A"/>
    <w:rsid w:val="0091669A"/>
    <w:rsid w:val="009216CB"/>
    <w:rsid w:val="009267FE"/>
    <w:rsid w:val="009447EF"/>
    <w:rsid w:val="0096394D"/>
    <w:rsid w:val="009848C0"/>
    <w:rsid w:val="009870AB"/>
    <w:rsid w:val="009C3BD3"/>
    <w:rsid w:val="009D500B"/>
    <w:rsid w:val="009E3083"/>
    <w:rsid w:val="00A031B4"/>
    <w:rsid w:val="00A077C0"/>
    <w:rsid w:val="00A10414"/>
    <w:rsid w:val="00A118FE"/>
    <w:rsid w:val="00A3721D"/>
    <w:rsid w:val="00A44B58"/>
    <w:rsid w:val="00A65802"/>
    <w:rsid w:val="00A67A99"/>
    <w:rsid w:val="00A70907"/>
    <w:rsid w:val="00A70FDD"/>
    <w:rsid w:val="00A9049D"/>
    <w:rsid w:val="00A920F5"/>
    <w:rsid w:val="00A971B1"/>
    <w:rsid w:val="00AA434D"/>
    <w:rsid w:val="00AB1607"/>
    <w:rsid w:val="00AD50E8"/>
    <w:rsid w:val="00AF0DF4"/>
    <w:rsid w:val="00B141F3"/>
    <w:rsid w:val="00B2673B"/>
    <w:rsid w:val="00B27612"/>
    <w:rsid w:val="00B347F6"/>
    <w:rsid w:val="00B56F4A"/>
    <w:rsid w:val="00B57C3D"/>
    <w:rsid w:val="00B63A69"/>
    <w:rsid w:val="00B642F5"/>
    <w:rsid w:val="00B704F7"/>
    <w:rsid w:val="00B82F27"/>
    <w:rsid w:val="00B96894"/>
    <w:rsid w:val="00BB4959"/>
    <w:rsid w:val="00BD3884"/>
    <w:rsid w:val="00BF0326"/>
    <w:rsid w:val="00BF1F1B"/>
    <w:rsid w:val="00C148AA"/>
    <w:rsid w:val="00C22A38"/>
    <w:rsid w:val="00C23B7B"/>
    <w:rsid w:val="00C32645"/>
    <w:rsid w:val="00C55044"/>
    <w:rsid w:val="00C611EE"/>
    <w:rsid w:val="00C64CC9"/>
    <w:rsid w:val="00C76FF5"/>
    <w:rsid w:val="00CA3860"/>
    <w:rsid w:val="00CA60C5"/>
    <w:rsid w:val="00CA7494"/>
    <w:rsid w:val="00CC225B"/>
    <w:rsid w:val="00CD1C1C"/>
    <w:rsid w:val="00CE4965"/>
    <w:rsid w:val="00CE6915"/>
    <w:rsid w:val="00CE6FCA"/>
    <w:rsid w:val="00CF6106"/>
    <w:rsid w:val="00D13FAA"/>
    <w:rsid w:val="00D20D06"/>
    <w:rsid w:val="00D21CF6"/>
    <w:rsid w:val="00D554EC"/>
    <w:rsid w:val="00DD151B"/>
    <w:rsid w:val="00DE75DC"/>
    <w:rsid w:val="00DE7C49"/>
    <w:rsid w:val="00DF552A"/>
    <w:rsid w:val="00E06D90"/>
    <w:rsid w:val="00E12E70"/>
    <w:rsid w:val="00E34670"/>
    <w:rsid w:val="00E36391"/>
    <w:rsid w:val="00E542DF"/>
    <w:rsid w:val="00E646AC"/>
    <w:rsid w:val="00E877D0"/>
    <w:rsid w:val="00EB5B56"/>
    <w:rsid w:val="00EB5EE5"/>
    <w:rsid w:val="00EC6623"/>
    <w:rsid w:val="00ED1035"/>
    <w:rsid w:val="00ED3E75"/>
    <w:rsid w:val="00ED72A9"/>
    <w:rsid w:val="00EF747A"/>
    <w:rsid w:val="00F0651C"/>
    <w:rsid w:val="00F068D6"/>
    <w:rsid w:val="00F1025C"/>
    <w:rsid w:val="00F103E9"/>
    <w:rsid w:val="00F11D23"/>
    <w:rsid w:val="00F31552"/>
    <w:rsid w:val="00F46BE8"/>
    <w:rsid w:val="00F5467C"/>
    <w:rsid w:val="00F552B7"/>
    <w:rsid w:val="00F73490"/>
    <w:rsid w:val="00F76622"/>
    <w:rsid w:val="00FA36B1"/>
    <w:rsid w:val="00FA3D3C"/>
    <w:rsid w:val="00FB3275"/>
    <w:rsid w:val="00FC2811"/>
    <w:rsid w:val="00FE0590"/>
    <w:rsid w:val="00FE6774"/>
    <w:rsid w:val="00FF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7014ECA"/>
  <w15:chartTrackingRefBased/>
  <w15:docId w15:val="{36C883D5-0E08-498A-912F-33FFAEE9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B7398"/>
    <w:pPr>
      <w:keepNext/>
      <w:keepLines/>
      <w:numPr>
        <w:numId w:val="8"/>
      </w:numPr>
      <w:spacing w:before="360" w:after="120"/>
      <w:outlineLvl w:val="0"/>
    </w:pPr>
    <w:rPr>
      <w:rFonts w:ascii="Calibri" w:eastAsiaTheme="majorEastAsia" w:hAnsi="Calibri" w:cstheme="majorBidi"/>
      <w:b/>
      <w:sz w:val="28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A36B1"/>
    <w:pPr>
      <w:keepNext/>
      <w:keepLines/>
      <w:numPr>
        <w:numId w:val="10"/>
      </w:numPr>
      <w:spacing w:before="360" w:after="120"/>
      <w:ind w:left="426" w:hanging="426"/>
      <w:mirrorIndents/>
      <w:outlineLvl w:val="1"/>
    </w:pPr>
    <w:rPr>
      <w:rFonts w:eastAsiaTheme="majorEastAsia" w:cstheme="minorHAnsi"/>
      <w:b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86D74"/>
    <w:pPr>
      <w:keepNext/>
      <w:spacing w:before="240" w:after="120"/>
      <w:outlineLvl w:val="2"/>
    </w:pPr>
    <w:rPr>
      <w:bCs/>
      <w:i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2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22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22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22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22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22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B7398"/>
    <w:rPr>
      <w:rFonts w:ascii="Calibri" w:eastAsiaTheme="majorEastAsia" w:hAnsi="Calibri" w:cstheme="majorBidi"/>
      <w:b/>
      <w:sz w:val="28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FA36B1"/>
    <w:rPr>
      <w:rFonts w:eastAsiaTheme="majorEastAsia" w:cstheme="minorHAnsi"/>
      <w:b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86D74"/>
    <w:rPr>
      <w:bCs/>
      <w:i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229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229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229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229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229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229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722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72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22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72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72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7229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7229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7229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22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229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72294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3B7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7398"/>
  </w:style>
  <w:style w:type="paragraph" w:styleId="Zpat">
    <w:name w:val="footer"/>
    <w:basedOn w:val="Normln"/>
    <w:link w:val="ZpatChar"/>
    <w:uiPriority w:val="99"/>
    <w:unhideWhenUsed/>
    <w:rsid w:val="003B7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7398"/>
  </w:style>
  <w:style w:type="paragraph" w:styleId="Normlnweb">
    <w:name w:val="Normal (Web)"/>
    <w:basedOn w:val="Normln"/>
    <w:uiPriority w:val="99"/>
    <w:semiHidden/>
    <w:unhideWhenUsed/>
    <w:rsid w:val="00286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286D74"/>
    <w:rPr>
      <w:b/>
      <w:bCs/>
    </w:rPr>
  </w:style>
  <w:style w:type="table" w:styleId="Mkatabulky">
    <w:name w:val="Table Grid"/>
    <w:basedOn w:val="Normlntabulka"/>
    <w:uiPriority w:val="39"/>
    <w:rsid w:val="00286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">
    <w:name w:val="Emphasis"/>
    <w:basedOn w:val="Standardnpsmoodstavce"/>
    <w:uiPriority w:val="20"/>
    <w:qFormat/>
    <w:rsid w:val="00F068D6"/>
    <w:rPr>
      <w:i/>
      <w:iCs/>
    </w:rPr>
  </w:style>
  <w:style w:type="character" w:customStyle="1" w:styleId="whitespace-normal">
    <w:name w:val="whitespace-normal"/>
    <w:basedOn w:val="Standardnpsmoodstavce"/>
    <w:rsid w:val="00122093"/>
  </w:style>
  <w:style w:type="table" w:styleId="Prosttabulka2">
    <w:name w:val="Plain Table 2"/>
    <w:basedOn w:val="Normlntabulka"/>
    <w:uiPriority w:val="42"/>
    <w:rsid w:val="00D20D0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textovodkaz">
    <w:name w:val="Hyperlink"/>
    <w:basedOn w:val="Standardnpsmoodstavce"/>
    <w:uiPriority w:val="99"/>
    <w:unhideWhenUsed/>
    <w:rsid w:val="00A67A9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67A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4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8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8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55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9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39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1402</Words>
  <Characters>8273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Herink</dc:creator>
  <cp:keywords/>
  <dc:description/>
  <cp:lastModifiedBy>Herink Tomas</cp:lastModifiedBy>
  <cp:revision>10</cp:revision>
  <dcterms:created xsi:type="dcterms:W3CDTF">2026-10-04T15:35:00Z</dcterms:created>
  <dcterms:modified xsi:type="dcterms:W3CDTF">2026-10-05T17:56:00Z</dcterms:modified>
</cp:coreProperties>
</file>